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C954" w14:textId="55AD427B" w:rsidR="00DE4393" w:rsidRDefault="00DE4393"/>
    <w:p w14:paraId="72DC4A3D" w14:textId="0818F309" w:rsidR="00DE4393" w:rsidRDefault="00DE4393"/>
    <w:p w14:paraId="403050E6" w14:textId="3E678689" w:rsidR="00DE4393" w:rsidRPr="002F2CDB" w:rsidRDefault="006C56BD">
      <w:pPr>
        <w:rPr>
          <w:sz w:val="40"/>
          <w:szCs w:val="40"/>
        </w:rPr>
      </w:pPr>
      <w:r w:rsidRPr="002F2CDB">
        <w:rPr>
          <w:sz w:val="40"/>
          <w:szCs w:val="40"/>
        </w:rPr>
        <w:t>Document Preparation Lease purchase buy back Program</w:t>
      </w:r>
    </w:p>
    <w:p w14:paraId="38E8163B" w14:textId="3AA9B784" w:rsidR="006C56BD" w:rsidRDefault="006C56BD"/>
    <w:p w14:paraId="1BF213E1" w14:textId="77777777" w:rsidR="006C56BD" w:rsidRDefault="006C56BD"/>
    <w:p w14:paraId="3AC8DB23" w14:textId="23114648" w:rsidR="00DE4393" w:rsidRDefault="00DE4393" w:rsidP="00DE4393">
      <w:pPr>
        <w:pStyle w:val="NormalWeb"/>
        <w:rPr>
          <w:rFonts w:ascii="Arial" w:hAnsi="Arial" w:cs="Arial"/>
          <w:color w:val="272727"/>
          <w:sz w:val="27"/>
          <w:szCs w:val="27"/>
        </w:rPr>
      </w:pPr>
      <w:r>
        <w:rPr>
          <w:rFonts w:ascii="Arial" w:hAnsi="Arial" w:cs="Arial"/>
          <w:color w:val="272727"/>
          <w:sz w:val="27"/>
          <w:szCs w:val="27"/>
        </w:rPr>
        <w:t xml:space="preserve">Real estate investments are not a proper fit for all institutions, individuals or special purpose entities. We focus our relationships with prospective investor/partners to help them determine if real estate investments may be an appropriate consideration. If </w:t>
      </w:r>
      <w:r w:rsidR="006C56BD">
        <w:rPr>
          <w:rFonts w:ascii="Arial" w:hAnsi="Arial" w:cs="Arial"/>
          <w:color w:val="272727"/>
          <w:sz w:val="27"/>
          <w:szCs w:val="27"/>
        </w:rPr>
        <w:t>a</w:t>
      </w:r>
      <w:r>
        <w:rPr>
          <w:rFonts w:ascii="Arial" w:hAnsi="Arial" w:cs="Arial"/>
          <w:color w:val="272727"/>
          <w:sz w:val="27"/>
          <w:szCs w:val="27"/>
        </w:rPr>
        <w:t xml:space="preserve"> potential investor/partner concludes that a real </w:t>
      </w:r>
      <w:bookmarkStart w:id="0" w:name="_GoBack"/>
      <w:bookmarkEnd w:id="0"/>
      <w:r>
        <w:rPr>
          <w:rFonts w:ascii="Arial" w:hAnsi="Arial" w:cs="Arial"/>
          <w:color w:val="272727"/>
          <w:sz w:val="27"/>
          <w:szCs w:val="27"/>
        </w:rPr>
        <w:t>estate investment opportunity is appropriate, we assist with the legal, tax and structural aspects of the overall investment model design and work to secure investment opportunities that fit within the designed objectives.</w:t>
      </w:r>
    </w:p>
    <w:p w14:paraId="468B9FE9" w14:textId="77777777" w:rsidR="00DE4393" w:rsidRDefault="00DE4393" w:rsidP="00DE4393">
      <w:pPr>
        <w:pStyle w:val="NormalWeb"/>
        <w:rPr>
          <w:rFonts w:ascii="Arial" w:hAnsi="Arial" w:cs="Arial"/>
          <w:color w:val="272727"/>
          <w:sz w:val="27"/>
          <w:szCs w:val="27"/>
        </w:rPr>
      </w:pPr>
      <w:r>
        <w:rPr>
          <w:rFonts w:ascii="Arial" w:hAnsi="Arial" w:cs="Arial"/>
          <w:color w:val="272727"/>
          <w:sz w:val="27"/>
          <w:szCs w:val="27"/>
        </w:rPr>
        <w:t>Generally, our investor/partners are accredited private joint/venture partner individuals, institutions seeking diversification of investment mix and opportunities, special purpose entities or retirement funds or self-directed retirement plans.</w:t>
      </w:r>
    </w:p>
    <w:p w14:paraId="41A798FE" w14:textId="75829172" w:rsidR="00DE4393" w:rsidRDefault="00DE4393"/>
    <w:p w14:paraId="2D12C085" w14:textId="23F780E9" w:rsidR="00DE4393" w:rsidRDefault="006C56BD">
      <w:pPr>
        <w:rPr>
          <w:rFonts w:ascii="Arial" w:hAnsi="Arial" w:cs="Arial"/>
          <w:color w:val="272727"/>
          <w:sz w:val="27"/>
          <w:szCs w:val="27"/>
        </w:rPr>
      </w:pPr>
      <w:r>
        <w:rPr>
          <w:rFonts w:ascii="Arial" w:hAnsi="Arial" w:cs="Arial"/>
          <w:color w:val="272727"/>
          <w:sz w:val="27"/>
          <w:szCs w:val="27"/>
        </w:rPr>
        <w:t>Document Preparation Consultants</w:t>
      </w:r>
      <w:r w:rsidR="00DE4393">
        <w:rPr>
          <w:rFonts w:ascii="Arial" w:hAnsi="Arial" w:cs="Arial"/>
          <w:color w:val="272727"/>
          <w:sz w:val="27"/>
          <w:szCs w:val="27"/>
        </w:rPr>
        <w:t xml:space="preserve"> encourages the participation of residential and commercial real estate brokers in our investment transactions. For example, many of the residential lease/purchase investment transactions are brought to us by residential real estate brokers with prospective homeowners seeking to identify and move into a home with the objective of completing the purchase after renting the property. We work effectively with the brokerage community to enhance their client service model.</w:t>
      </w:r>
      <w:r w:rsidR="00DE4393">
        <w:rPr>
          <w:rFonts w:ascii="Arial" w:hAnsi="Arial" w:cs="Arial"/>
          <w:color w:val="272727"/>
          <w:sz w:val="27"/>
          <w:szCs w:val="27"/>
        </w:rPr>
        <w:br/>
      </w:r>
      <w:r w:rsidR="00DE4393">
        <w:rPr>
          <w:rFonts w:ascii="Arial" w:hAnsi="Arial" w:cs="Arial"/>
          <w:color w:val="272727"/>
          <w:sz w:val="27"/>
          <w:szCs w:val="27"/>
        </w:rPr>
        <w:br/>
        <w:t>In many instances, realtors and real estate professionals bring us acquisition opportunities seeking our ability to quickly evaluate and close on acquisition opportunities.</w:t>
      </w:r>
    </w:p>
    <w:p w14:paraId="06E10461" w14:textId="0171B451" w:rsidR="00DE4393" w:rsidRDefault="00DE4393">
      <w:pPr>
        <w:rPr>
          <w:rFonts w:ascii="Arial" w:hAnsi="Arial" w:cs="Arial"/>
          <w:color w:val="272727"/>
          <w:sz w:val="27"/>
          <w:szCs w:val="27"/>
        </w:rPr>
      </w:pPr>
    </w:p>
    <w:p w14:paraId="021F27F3" w14:textId="42164094" w:rsidR="00DE4393" w:rsidRDefault="00DE4393">
      <w:pPr>
        <w:rPr>
          <w:rFonts w:ascii="Arial" w:hAnsi="Arial" w:cs="Arial"/>
          <w:color w:val="272727"/>
          <w:sz w:val="27"/>
          <w:szCs w:val="27"/>
        </w:rPr>
      </w:pPr>
      <w:r>
        <w:rPr>
          <w:rFonts w:ascii="Arial" w:hAnsi="Arial" w:cs="Arial"/>
          <w:color w:val="272727"/>
          <w:sz w:val="27"/>
          <w:szCs w:val="27"/>
        </w:rPr>
        <w:t xml:space="preserve">Many residential mortgage lenders and brokers encounter instances where a prospective homeowner cannot adequately access the current mortgage market. In many instances, with focus and planning, these same </w:t>
      </w:r>
      <w:r w:rsidR="006C56BD">
        <w:rPr>
          <w:rFonts w:ascii="Arial" w:hAnsi="Arial" w:cs="Arial"/>
          <w:color w:val="272727"/>
          <w:sz w:val="27"/>
          <w:szCs w:val="27"/>
        </w:rPr>
        <w:t>homeowners</w:t>
      </w:r>
      <w:r>
        <w:rPr>
          <w:rFonts w:ascii="Arial" w:hAnsi="Arial" w:cs="Arial"/>
          <w:color w:val="272727"/>
          <w:sz w:val="27"/>
          <w:szCs w:val="27"/>
        </w:rPr>
        <w:t xml:space="preserve"> can purchase a home with a traditional home mortgage within a year to 24 </w:t>
      </w:r>
      <w:r>
        <w:rPr>
          <w:rFonts w:ascii="Arial" w:hAnsi="Arial" w:cs="Arial"/>
          <w:color w:val="272727"/>
          <w:sz w:val="27"/>
          <w:szCs w:val="27"/>
        </w:rPr>
        <w:lastRenderedPageBreak/>
        <w:t xml:space="preserve">months. We assist mortgage lenders with their clients in bridging from a lease purchase opportunity to the </w:t>
      </w:r>
      <w:r w:rsidR="006C56BD">
        <w:rPr>
          <w:rFonts w:ascii="Arial" w:hAnsi="Arial" w:cs="Arial"/>
          <w:color w:val="272727"/>
          <w:sz w:val="27"/>
          <w:szCs w:val="27"/>
        </w:rPr>
        <w:t>conclusion</w:t>
      </w:r>
      <w:r>
        <w:rPr>
          <w:rFonts w:ascii="Arial" w:hAnsi="Arial" w:cs="Arial"/>
          <w:color w:val="272727"/>
          <w:sz w:val="27"/>
          <w:szCs w:val="27"/>
        </w:rPr>
        <w:t xml:space="preserve"> with a traditional purchase of the home provided under the lease purchase model.</w:t>
      </w:r>
    </w:p>
    <w:p w14:paraId="2CFB16ED" w14:textId="37AB4862" w:rsidR="00DE4393" w:rsidRDefault="00DE4393">
      <w:pPr>
        <w:rPr>
          <w:rFonts w:ascii="Arial" w:hAnsi="Arial" w:cs="Arial"/>
          <w:color w:val="272727"/>
          <w:sz w:val="27"/>
          <w:szCs w:val="27"/>
        </w:rPr>
      </w:pPr>
    </w:p>
    <w:p w14:paraId="4104999D" w14:textId="6885F6D9" w:rsidR="00DE4393" w:rsidRDefault="00DE4393">
      <w:pPr>
        <w:rPr>
          <w:rFonts w:ascii="Arial" w:hAnsi="Arial" w:cs="Arial"/>
          <w:color w:val="272727"/>
          <w:sz w:val="27"/>
          <w:szCs w:val="27"/>
        </w:rPr>
      </w:pPr>
    </w:p>
    <w:p w14:paraId="765BC25D" w14:textId="19C6FB01" w:rsidR="00DE4393" w:rsidRDefault="00DE4393">
      <w:pPr>
        <w:rPr>
          <w:rFonts w:ascii="Arial" w:hAnsi="Arial" w:cs="Arial"/>
          <w:color w:val="272727"/>
          <w:sz w:val="27"/>
          <w:szCs w:val="27"/>
        </w:rPr>
      </w:pPr>
      <w:r>
        <w:rPr>
          <w:rFonts w:ascii="Arial" w:hAnsi="Arial" w:cs="Arial"/>
          <w:color w:val="272727"/>
          <w:sz w:val="27"/>
          <w:szCs w:val="27"/>
        </w:rPr>
        <w:t xml:space="preserve">Document Preparation Consultants </w:t>
      </w:r>
      <w:r w:rsidR="006C56BD">
        <w:rPr>
          <w:rFonts w:ascii="Arial" w:hAnsi="Arial" w:cs="Arial"/>
          <w:color w:val="272727"/>
          <w:sz w:val="27"/>
          <w:szCs w:val="27"/>
        </w:rPr>
        <w:t>LLC</w:t>
      </w:r>
      <w:r>
        <w:rPr>
          <w:rFonts w:ascii="Arial" w:hAnsi="Arial" w:cs="Arial"/>
          <w:color w:val="272727"/>
          <w:sz w:val="27"/>
          <w:szCs w:val="27"/>
        </w:rPr>
        <w:t xml:space="preserve"> announced the completion of the restructuring of several residential property holdings for several Phoenix area residential properties for an institutional investment partner. In conjunction with the restructure, </w:t>
      </w:r>
      <w:r w:rsidR="006C56BD">
        <w:rPr>
          <w:rFonts w:ascii="Arial" w:hAnsi="Arial" w:cs="Arial"/>
          <w:color w:val="272727"/>
          <w:sz w:val="27"/>
          <w:szCs w:val="27"/>
        </w:rPr>
        <w:t>Document Preparation Consultants</w:t>
      </w:r>
      <w:r>
        <w:rPr>
          <w:rFonts w:ascii="Arial" w:hAnsi="Arial" w:cs="Arial"/>
          <w:color w:val="272727"/>
          <w:sz w:val="27"/>
          <w:szCs w:val="27"/>
        </w:rPr>
        <w:t xml:space="preserve"> entered into lease purchase transactions for lease purchase option tenants for each of the properties. The lease purchase agreements provided the residential tenants with a </w:t>
      </w:r>
      <w:r w:rsidR="006C56BD">
        <w:rPr>
          <w:rFonts w:ascii="Arial" w:hAnsi="Arial" w:cs="Arial"/>
          <w:color w:val="272727"/>
          <w:sz w:val="27"/>
          <w:szCs w:val="27"/>
        </w:rPr>
        <w:t>two-year</w:t>
      </w:r>
      <w:r>
        <w:rPr>
          <w:rFonts w:ascii="Arial" w:hAnsi="Arial" w:cs="Arial"/>
          <w:color w:val="272727"/>
          <w:sz w:val="27"/>
          <w:szCs w:val="27"/>
        </w:rPr>
        <w:t xml:space="preserve"> option agreement to purchase the properties.</w:t>
      </w:r>
    </w:p>
    <w:p w14:paraId="14B96262" w14:textId="26FFFD3B" w:rsidR="00DE4393" w:rsidRDefault="00DE4393">
      <w:pPr>
        <w:rPr>
          <w:rFonts w:ascii="Arial" w:hAnsi="Arial" w:cs="Arial"/>
          <w:color w:val="272727"/>
          <w:sz w:val="27"/>
          <w:szCs w:val="27"/>
        </w:rPr>
      </w:pPr>
    </w:p>
    <w:p w14:paraId="45A279AE" w14:textId="29AF5241" w:rsidR="00DE4393" w:rsidRDefault="00DE4393">
      <w:r>
        <w:rPr>
          <w:rFonts w:ascii="Arial" w:hAnsi="Arial" w:cs="Arial"/>
          <w:color w:val="272727"/>
          <w:sz w:val="27"/>
          <w:szCs w:val="27"/>
        </w:rPr>
        <w:t xml:space="preserve">Document Preparation Consultants </w:t>
      </w:r>
      <w:r w:rsidR="006C56BD">
        <w:rPr>
          <w:rFonts w:ascii="Arial" w:hAnsi="Arial" w:cs="Arial"/>
          <w:color w:val="272727"/>
          <w:sz w:val="27"/>
          <w:szCs w:val="27"/>
        </w:rPr>
        <w:t>LLC</w:t>
      </w:r>
      <w:r>
        <w:rPr>
          <w:rFonts w:ascii="Arial" w:hAnsi="Arial" w:cs="Arial"/>
          <w:color w:val="272727"/>
          <w:sz w:val="27"/>
          <w:szCs w:val="27"/>
        </w:rPr>
        <w:t xml:space="preserve"> announced the completion of the acquisition of several Denver metro area residential properties. In conjunction with the purchases, </w:t>
      </w:r>
      <w:r w:rsidR="006C56BD">
        <w:rPr>
          <w:rFonts w:ascii="Arial" w:hAnsi="Arial" w:cs="Arial"/>
          <w:color w:val="272727"/>
          <w:sz w:val="27"/>
          <w:szCs w:val="27"/>
        </w:rPr>
        <w:t>Document Preparation Consultants</w:t>
      </w:r>
      <w:r>
        <w:rPr>
          <w:rFonts w:ascii="Arial" w:hAnsi="Arial" w:cs="Arial"/>
          <w:color w:val="272727"/>
          <w:sz w:val="27"/>
          <w:szCs w:val="27"/>
        </w:rPr>
        <w:t xml:space="preserve"> entered into lease purchase transactions for lease purchase option tenants for each of the properties. The lease purchase agreements provided the residential tenants with a </w:t>
      </w:r>
      <w:r w:rsidR="006C56BD">
        <w:rPr>
          <w:rFonts w:ascii="Arial" w:hAnsi="Arial" w:cs="Arial"/>
          <w:color w:val="272727"/>
          <w:sz w:val="27"/>
          <w:szCs w:val="27"/>
        </w:rPr>
        <w:t>two-year</w:t>
      </w:r>
      <w:r>
        <w:rPr>
          <w:rFonts w:ascii="Arial" w:hAnsi="Arial" w:cs="Arial"/>
          <w:color w:val="272727"/>
          <w:sz w:val="27"/>
          <w:szCs w:val="27"/>
        </w:rPr>
        <w:t xml:space="preserve"> option agreement to purchase the properties. Funding for the purchases was provided by </w:t>
      </w:r>
      <w:r w:rsidR="006C56BD">
        <w:rPr>
          <w:rFonts w:ascii="Arial" w:hAnsi="Arial" w:cs="Arial"/>
          <w:color w:val="272727"/>
          <w:sz w:val="27"/>
          <w:szCs w:val="27"/>
        </w:rPr>
        <w:t>Document Preparation Consultants</w:t>
      </w:r>
      <w:r>
        <w:rPr>
          <w:rFonts w:ascii="Arial" w:hAnsi="Arial" w:cs="Arial"/>
          <w:color w:val="272727"/>
          <w:sz w:val="27"/>
          <w:szCs w:val="27"/>
        </w:rPr>
        <w:t>, institutional investors, First Bank and Collegiate Peak Bank.</w:t>
      </w:r>
    </w:p>
    <w:sectPr w:rsidR="00DE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93"/>
    <w:rsid w:val="002F2CDB"/>
    <w:rsid w:val="006C56BD"/>
    <w:rsid w:val="00DE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0C9B"/>
  <w15:chartTrackingRefBased/>
  <w15:docId w15:val="{4318C6FB-0F7D-4878-859E-FA27FCD2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jeffreyjabraham</dc:creator>
  <cp:keywords/>
  <dc:description/>
  <cp:lastModifiedBy>jeffreyjabraham</cp:lastModifiedBy>
  <cp:revision>1</cp:revision>
  <dcterms:created xsi:type="dcterms:W3CDTF">2019-10-16T04:11:00Z</dcterms:created>
  <dcterms:modified xsi:type="dcterms:W3CDTF">2019-10-16T04:49:00Z</dcterms:modified>
</cp:coreProperties>
</file>